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44" w:rsidRPr="007B2E34" w:rsidRDefault="00C74044" w:rsidP="00C74044">
      <w:pPr>
        <w:spacing w:line="264" w:lineRule="auto"/>
        <w:jc w:val="center"/>
        <w:rPr>
          <w:b/>
          <w:sz w:val="27"/>
          <w:szCs w:val="27"/>
        </w:rPr>
      </w:pPr>
      <w:r w:rsidRPr="007B2E34">
        <w:rPr>
          <w:b/>
          <w:sz w:val="27"/>
          <w:szCs w:val="27"/>
        </w:rPr>
        <w:t>Phụ lục I</w:t>
      </w:r>
    </w:p>
    <w:p w:rsidR="00D8304D" w:rsidRDefault="00D8304D" w:rsidP="00D8304D">
      <w:pPr>
        <w:widowControl w:val="0"/>
        <w:jc w:val="center"/>
        <w:rPr>
          <w:b/>
          <w:bCs/>
          <w:color w:val="000000"/>
        </w:rPr>
      </w:pPr>
      <w:r>
        <w:rPr>
          <w:b/>
          <w:bCs/>
          <w:color w:val="000000"/>
        </w:rPr>
        <w:t>DANH MỤC THỦ TỤC HÀNH CHÍNH ĐƯỢC SỬA ĐỔI, BỔ SUNG THUỘC</w:t>
      </w:r>
      <w:r>
        <w:rPr>
          <w:b/>
          <w:color w:val="000000"/>
        </w:rPr>
        <w:t xml:space="preserve"> </w:t>
      </w:r>
      <w:r>
        <w:rPr>
          <w:b/>
          <w:bCs/>
          <w:color w:val="000000"/>
        </w:rPr>
        <w:t xml:space="preserve">THẨM QUYỀN </w:t>
      </w:r>
    </w:p>
    <w:p w:rsidR="00D8304D" w:rsidRDefault="00D8304D" w:rsidP="00D8304D">
      <w:pPr>
        <w:widowControl w:val="0"/>
        <w:jc w:val="center"/>
        <w:rPr>
          <w:b/>
          <w:bCs/>
          <w:color w:val="000000"/>
        </w:rPr>
      </w:pPr>
      <w:r>
        <w:rPr>
          <w:b/>
          <w:bCs/>
          <w:color w:val="000000"/>
        </w:rPr>
        <w:t xml:space="preserve">GIẢI QUYẾT CỦA </w:t>
      </w:r>
      <w:r>
        <w:rPr>
          <w:b/>
          <w:bCs/>
          <w:color w:val="000000"/>
          <w:lang w:val="vi-VN"/>
        </w:rPr>
        <w:t xml:space="preserve">SỞ </w:t>
      </w:r>
      <w:r>
        <w:rPr>
          <w:b/>
          <w:bCs/>
          <w:color w:val="000000"/>
        </w:rPr>
        <w:t xml:space="preserve">GIAO THÔNG VẬN TẢI TỈNH NINH BÌNH </w:t>
      </w:r>
    </w:p>
    <w:p w:rsidR="00C74044" w:rsidRPr="007B2E34" w:rsidRDefault="00D8304D" w:rsidP="00D8304D">
      <w:pPr>
        <w:spacing w:line="264" w:lineRule="auto"/>
        <w:jc w:val="center"/>
        <w:rPr>
          <w:i/>
          <w:sz w:val="27"/>
          <w:szCs w:val="27"/>
        </w:rPr>
      </w:pPr>
      <w:r w:rsidRPr="007B2E34">
        <w:rPr>
          <w:i/>
          <w:sz w:val="27"/>
          <w:szCs w:val="27"/>
        </w:rPr>
        <w:t xml:space="preserve"> </w:t>
      </w:r>
      <w:r w:rsidR="00C74044" w:rsidRPr="007B2E34">
        <w:rPr>
          <w:i/>
          <w:sz w:val="27"/>
          <w:szCs w:val="27"/>
        </w:rPr>
        <w:t>(Ban hành kèm theo Quyết định số</w:t>
      </w:r>
      <w:r w:rsidR="00DA2D82">
        <w:rPr>
          <w:i/>
          <w:sz w:val="27"/>
          <w:szCs w:val="27"/>
        </w:rPr>
        <w:t xml:space="preserve">        /QĐ-UBND ngày      / 5</w:t>
      </w:r>
      <w:r w:rsidR="00C74044" w:rsidRPr="007B2E34">
        <w:rPr>
          <w:i/>
          <w:sz w:val="27"/>
          <w:szCs w:val="27"/>
        </w:rPr>
        <w:t xml:space="preserve"> /2023 của Chủ tịch Ủy ban nhân dân tỉnh Ninh Bình)</w:t>
      </w:r>
    </w:p>
    <w:p w:rsidR="00C74044" w:rsidRPr="007B2E34" w:rsidRDefault="00C74044" w:rsidP="00C74044">
      <w:pPr>
        <w:tabs>
          <w:tab w:val="left" w:pos="14140"/>
        </w:tabs>
        <w:spacing w:line="264" w:lineRule="auto"/>
        <w:jc w:val="center"/>
        <w:rPr>
          <w:sz w:val="27"/>
          <w:szCs w:val="27"/>
        </w:rPr>
      </w:pPr>
      <w:r w:rsidRPr="007B2E34">
        <w:rPr>
          <w:noProof/>
          <w:sz w:val="27"/>
          <w:szCs w:val="27"/>
        </w:rPr>
        <mc:AlternateContent>
          <mc:Choice Requires="wps">
            <w:drawing>
              <wp:anchor distT="4294967295" distB="4294967295" distL="114300" distR="114300" simplePos="0" relativeHeight="251659264" behindDoc="0" locked="0" layoutInCell="1" allowOverlap="1" wp14:anchorId="78EFA415" wp14:editId="1C76ADB2">
                <wp:simplePos x="0" y="0"/>
                <wp:positionH relativeFrom="column">
                  <wp:posOffset>3213735</wp:posOffset>
                </wp:positionH>
                <wp:positionV relativeFrom="paragraph">
                  <wp:posOffset>10159</wp:posOffset>
                </wp:positionV>
                <wp:extent cx="2933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FE925B" id="_x0000_t32" coordsize="21600,21600" o:spt="32" o:oned="t" path="m,l21600,21600e" filled="f">
                <v:path arrowok="t" fillok="f" o:connecttype="none"/>
                <o:lock v:ext="edit" shapetype="t"/>
              </v:shapetype>
              <v:shape id="Straight Arrow Connector 1" o:spid="_x0000_s1026" type="#_x0000_t32" style="position:absolute;margin-left:253.05pt;margin-top:.8pt;width:2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qGJg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"/>
            </w:pict>
          </mc:Fallback>
        </mc:AlternateContent>
      </w:r>
    </w:p>
    <w:p w:rsidR="00C74044" w:rsidRPr="007B2E34" w:rsidRDefault="00C74044" w:rsidP="00C74044">
      <w:pPr>
        <w:tabs>
          <w:tab w:val="left" w:pos="14140"/>
        </w:tabs>
        <w:spacing w:line="264" w:lineRule="auto"/>
        <w:jc w:val="center"/>
        <w:rPr>
          <w:sz w:val="7"/>
          <w:szCs w:val="27"/>
        </w:rPr>
      </w:pPr>
    </w:p>
    <w:p w:rsidR="00C74044" w:rsidRPr="007B2E34" w:rsidRDefault="00C74044" w:rsidP="00C74044">
      <w:pPr>
        <w:tabs>
          <w:tab w:val="left" w:pos="3920"/>
        </w:tabs>
        <w:spacing w:line="264" w:lineRule="auto"/>
        <w:ind w:firstLine="720"/>
        <w:jc w:val="both"/>
        <w:rPr>
          <w:b/>
          <w:sz w:val="27"/>
          <w:szCs w:val="27"/>
        </w:rPr>
      </w:pPr>
      <w:r w:rsidRPr="007B2E34">
        <w:rPr>
          <w:b/>
          <w:sz w:val="27"/>
          <w:szCs w:val="27"/>
        </w:rPr>
        <w:t>I. THỦ TỤC HÀNH CHÍNH CẤP TỈNH</w:t>
      </w:r>
    </w:p>
    <w:p w:rsidR="00C74044" w:rsidRPr="007B2E34" w:rsidRDefault="00C74044" w:rsidP="00C74044">
      <w:pPr>
        <w:spacing w:line="264" w:lineRule="auto"/>
        <w:ind w:firstLine="720"/>
        <w:jc w:val="both"/>
        <w:rPr>
          <w:b/>
          <w:sz w:val="9"/>
          <w:szCs w:val="27"/>
        </w:rPr>
      </w:pPr>
    </w:p>
    <w:p w:rsidR="007B2E34" w:rsidRPr="007B2E34" w:rsidRDefault="007B2E34" w:rsidP="00C74044">
      <w:pPr>
        <w:spacing w:line="264" w:lineRule="auto"/>
        <w:ind w:firstLine="720"/>
        <w:jc w:val="both"/>
        <w:rPr>
          <w:b/>
          <w:sz w:val="9"/>
          <w:szCs w:val="27"/>
        </w:rPr>
      </w:pPr>
    </w:p>
    <w:tbl>
      <w:tblPr>
        <w:tblW w:w="15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
        <w:gridCol w:w="2272"/>
        <w:gridCol w:w="1134"/>
        <w:gridCol w:w="1163"/>
        <w:gridCol w:w="3118"/>
        <w:gridCol w:w="850"/>
        <w:gridCol w:w="992"/>
        <w:gridCol w:w="993"/>
        <w:gridCol w:w="2977"/>
        <w:gridCol w:w="856"/>
      </w:tblGrid>
      <w:tr w:rsidR="007B2E34" w:rsidRPr="007B2E34" w:rsidTr="006751F4">
        <w:trPr>
          <w:cantSplit/>
          <w:trHeight w:val="436"/>
          <w:tblHeader/>
        </w:trPr>
        <w:tc>
          <w:tcPr>
            <w:tcW w:w="705" w:type="dxa"/>
            <w:vMerge w:val="restart"/>
            <w:vAlign w:val="center"/>
          </w:tcPr>
          <w:p w:rsidR="00C74044" w:rsidRPr="007B2E34" w:rsidRDefault="00C74044" w:rsidP="00426C72">
            <w:pPr>
              <w:spacing w:line="264" w:lineRule="auto"/>
              <w:ind w:left="-250" w:firstLine="142"/>
              <w:jc w:val="center"/>
              <w:rPr>
                <w:b/>
                <w:sz w:val="27"/>
                <w:szCs w:val="27"/>
              </w:rPr>
            </w:pPr>
            <w:r w:rsidRPr="007B2E34">
              <w:rPr>
                <w:b/>
                <w:sz w:val="27"/>
                <w:szCs w:val="27"/>
              </w:rPr>
              <w:t>TT</w:t>
            </w:r>
          </w:p>
        </w:tc>
        <w:tc>
          <w:tcPr>
            <w:tcW w:w="2272" w:type="dxa"/>
            <w:vMerge w:val="restart"/>
            <w:vAlign w:val="center"/>
          </w:tcPr>
          <w:p w:rsidR="00C74044" w:rsidRPr="007B2E34" w:rsidRDefault="00C74044" w:rsidP="00426C72">
            <w:pPr>
              <w:spacing w:line="264" w:lineRule="auto"/>
              <w:jc w:val="center"/>
              <w:rPr>
                <w:b/>
                <w:sz w:val="27"/>
                <w:szCs w:val="27"/>
              </w:rPr>
            </w:pPr>
            <w:r w:rsidRPr="007B2E34">
              <w:rPr>
                <w:b/>
                <w:sz w:val="27"/>
                <w:szCs w:val="27"/>
              </w:rPr>
              <w:t>Tên thủ tục</w:t>
            </w:r>
          </w:p>
          <w:p w:rsidR="00C74044" w:rsidRPr="007B2E34" w:rsidRDefault="00C74044" w:rsidP="00426C72">
            <w:pPr>
              <w:spacing w:line="264" w:lineRule="auto"/>
              <w:jc w:val="center"/>
              <w:rPr>
                <w:b/>
                <w:sz w:val="27"/>
                <w:szCs w:val="27"/>
              </w:rPr>
            </w:pPr>
            <w:r w:rsidRPr="007B2E34">
              <w:rPr>
                <w:b/>
                <w:sz w:val="27"/>
                <w:szCs w:val="27"/>
              </w:rPr>
              <w:t>hành chính</w:t>
            </w:r>
          </w:p>
        </w:tc>
        <w:tc>
          <w:tcPr>
            <w:tcW w:w="1134" w:type="dxa"/>
            <w:vMerge w:val="restart"/>
            <w:vAlign w:val="center"/>
          </w:tcPr>
          <w:p w:rsidR="00C74044" w:rsidRPr="007B2E34" w:rsidRDefault="00C74044" w:rsidP="00426C72">
            <w:pPr>
              <w:spacing w:line="264" w:lineRule="auto"/>
              <w:jc w:val="center"/>
              <w:rPr>
                <w:b/>
                <w:sz w:val="27"/>
                <w:szCs w:val="27"/>
              </w:rPr>
            </w:pPr>
            <w:r w:rsidRPr="007B2E34">
              <w:rPr>
                <w:b/>
                <w:sz w:val="27"/>
                <w:szCs w:val="27"/>
              </w:rPr>
              <w:t>Thời hạn</w:t>
            </w:r>
          </w:p>
          <w:p w:rsidR="00C74044" w:rsidRPr="007B2E34" w:rsidRDefault="00C74044" w:rsidP="00426C72">
            <w:pPr>
              <w:spacing w:line="264" w:lineRule="auto"/>
              <w:jc w:val="center"/>
              <w:rPr>
                <w:b/>
                <w:sz w:val="27"/>
                <w:szCs w:val="27"/>
              </w:rPr>
            </w:pPr>
            <w:r w:rsidRPr="007B2E34">
              <w:rPr>
                <w:b/>
                <w:sz w:val="27"/>
                <w:szCs w:val="27"/>
              </w:rPr>
              <w:t>giải quyết</w:t>
            </w:r>
          </w:p>
        </w:tc>
        <w:tc>
          <w:tcPr>
            <w:tcW w:w="1163" w:type="dxa"/>
            <w:vMerge w:val="restart"/>
            <w:vAlign w:val="center"/>
          </w:tcPr>
          <w:p w:rsidR="00C74044" w:rsidRPr="007B2E34" w:rsidRDefault="00C74044" w:rsidP="00426C72">
            <w:pPr>
              <w:spacing w:line="264" w:lineRule="auto"/>
              <w:jc w:val="center"/>
              <w:rPr>
                <w:b/>
                <w:sz w:val="27"/>
                <w:szCs w:val="27"/>
              </w:rPr>
            </w:pPr>
            <w:r w:rsidRPr="007B2E34">
              <w:rPr>
                <w:b/>
                <w:sz w:val="27"/>
                <w:szCs w:val="27"/>
              </w:rPr>
              <w:t>Địa điểm</w:t>
            </w:r>
          </w:p>
          <w:p w:rsidR="00C74044" w:rsidRPr="007B2E34" w:rsidRDefault="00C74044" w:rsidP="00426C72">
            <w:pPr>
              <w:spacing w:line="264" w:lineRule="auto"/>
              <w:jc w:val="center"/>
              <w:rPr>
                <w:b/>
                <w:sz w:val="27"/>
                <w:szCs w:val="27"/>
              </w:rPr>
            </w:pPr>
            <w:r w:rsidRPr="007B2E34">
              <w:rPr>
                <w:b/>
                <w:sz w:val="27"/>
                <w:szCs w:val="27"/>
              </w:rPr>
              <w:t>thực hiện</w:t>
            </w:r>
          </w:p>
        </w:tc>
        <w:tc>
          <w:tcPr>
            <w:tcW w:w="3118" w:type="dxa"/>
            <w:vMerge w:val="restart"/>
            <w:vAlign w:val="center"/>
          </w:tcPr>
          <w:p w:rsidR="00C74044" w:rsidRPr="007B2E34" w:rsidRDefault="00C74044" w:rsidP="00426C72">
            <w:pPr>
              <w:spacing w:line="264" w:lineRule="auto"/>
              <w:jc w:val="center"/>
              <w:rPr>
                <w:b/>
                <w:sz w:val="27"/>
                <w:szCs w:val="27"/>
              </w:rPr>
            </w:pPr>
            <w:r w:rsidRPr="007B2E34">
              <w:rPr>
                <w:b/>
                <w:sz w:val="27"/>
                <w:szCs w:val="27"/>
              </w:rPr>
              <w:t>Phí, lệ phí</w:t>
            </w:r>
          </w:p>
          <w:p w:rsidR="00C74044" w:rsidRPr="007B2E34" w:rsidRDefault="00C74044" w:rsidP="00426C72">
            <w:pPr>
              <w:spacing w:line="264" w:lineRule="auto"/>
              <w:jc w:val="center"/>
              <w:rPr>
                <w:b/>
                <w:sz w:val="27"/>
                <w:szCs w:val="27"/>
              </w:rPr>
            </w:pPr>
            <w:r w:rsidRPr="007B2E34">
              <w:rPr>
                <w:b/>
                <w:sz w:val="27"/>
                <w:szCs w:val="27"/>
              </w:rPr>
              <w:t>(nếu có)</w:t>
            </w:r>
          </w:p>
        </w:tc>
        <w:tc>
          <w:tcPr>
            <w:tcW w:w="1842" w:type="dxa"/>
            <w:gridSpan w:val="2"/>
            <w:vAlign w:val="center"/>
          </w:tcPr>
          <w:p w:rsidR="00C74044" w:rsidRPr="007B2E34" w:rsidRDefault="00C74044" w:rsidP="00426C72">
            <w:pPr>
              <w:spacing w:line="264" w:lineRule="auto"/>
              <w:jc w:val="center"/>
              <w:rPr>
                <w:b/>
                <w:sz w:val="27"/>
                <w:szCs w:val="27"/>
              </w:rPr>
            </w:pPr>
            <w:r w:rsidRPr="007B2E34">
              <w:rPr>
                <w:b/>
                <w:sz w:val="27"/>
                <w:szCs w:val="27"/>
              </w:rPr>
              <w:t>Dịch vụ công trực tuyến</w:t>
            </w:r>
          </w:p>
        </w:tc>
        <w:tc>
          <w:tcPr>
            <w:tcW w:w="993" w:type="dxa"/>
            <w:vMerge w:val="restart"/>
          </w:tcPr>
          <w:p w:rsidR="00C74044" w:rsidRPr="007B2E34" w:rsidRDefault="00C74044" w:rsidP="00426C72">
            <w:pPr>
              <w:spacing w:line="264" w:lineRule="auto"/>
              <w:jc w:val="center"/>
              <w:rPr>
                <w:b/>
                <w:sz w:val="27"/>
                <w:szCs w:val="27"/>
              </w:rPr>
            </w:pPr>
            <w:r w:rsidRPr="007B2E34">
              <w:rPr>
                <w:b/>
                <w:sz w:val="27"/>
                <w:szCs w:val="27"/>
              </w:rPr>
              <w:t>Thực hiện qua dịch vụ BCCI</w:t>
            </w:r>
          </w:p>
        </w:tc>
        <w:tc>
          <w:tcPr>
            <w:tcW w:w="2977" w:type="dxa"/>
            <w:vMerge w:val="restart"/>
          </w:tcPr>
          <w:p w:rsidR="00C74044" w:rsidRPr="007B2E34" w:rsidRDefault="00C74044" w:rsidP="00426C72">
            <w:pPr>
              <w:spacing w:line="264" w:lineRule="auto"/>
              <w:jc w:val="center"/>
              <w:rPr>
                <w:b/>
                <w:sz w:val="27"/>
                <w:szCs w:val="27"/>
              </w:rPr>
            </w:pPr>
          </w:p>
          <w:p w:rsidR="00C74044" w:rsidRPr="007B2E34" w:rsidRDefault="00C74044" w:rsidP="00426C72">
            <w:pPr>
              <w:spacing w:line="264" w:lineRule="auto"/>
              <w:jc w:val="center"/>
              <w:rPr>
                <w:b/>
                <w:sz w:val="27"/>
                <w:szCs w:val="27"/>
              </w:rPr>
            </w:pPr>
          </w:p>
          <w:p w:rsidR="00C74044" w:rsidRPr="007B2E34" w:rsidRDefault="00C74044" w:rsidP="00426C72">
            <w:pPr>
              <w:spacing w:line="264" w:lineRule="auto"/>
              <w:jc w:val="center"/>
              <w:rPr>
                <w:b/>
                <w:sz w:val="27"/>
                <w:szCs w:val="27"/>
              </w:rPr>
            </w:pPr>
            <w:r w:rsidRPr="007B2E34">
              <w:rPr>
                <w:b/>
                <w:sz w:val="27"/>
                <w:szCs w:val="27"/>
              </w:rPr>
              <w:t>Căn cứ pháp lý</w:t>
            </w:r>
          </w:p>
        </w:tc>
        <w:tc>
          <w:tcPr>
            <w:tcW w:w="856" w:type="dxa"/>
            <w:vMerge w:val="restart"/>
            <w:vAlign w:val="center"/>
          </w:tcPr>
          <w:p w:rsidR="00C74044" w:rsidRPr="007B2E34" w:rsidRDefault="00C74044" w:rsidP="00426C72">
            <w:pPr>
              <w:spacing w:line="264" w:lineRule="auto"/>
              <w:jc w:val="center"/>
              <w:rPr>
                <w:b/>
                <w:sz w:val="27"/>
                <w:szCs w:val="27"/>
              </w:rPr>
            </w:pPr>
            <w:r w:rsidRPr="007B2E34">
              <w:rPr>
                <w:b/>
                <w:sz w:val="27"/>
                <w:szCs w:val="27"/>
              </w:rPr>
              <w:t>Ghi chú</w:t>
            </w:r>
          </w:p>
        </w:tc>
      </w:tr>
      <w:tr w:rsidR="007B2E34" w:rsidRPr="007B2E34" w:rsidTr="006751F4">
        <w:trPr>
          <w:cantSplit/>
          <w:trHeight w:val="291"/>
          <w:tblHeader/>
        </w:trPr>
        <w:tc>
          <w:tcPr>
            <w:tcW w:w="705" w:type="dxa"/>
            <w:vMerge/>
            <w:vAlign w:val="center"/>
          </w:tcPr>
          <w:p w:rsidR="00C74044" w:rsidRPr="007B2E34" w:rsidRDefault="00C74044" w:rsidP="00426C72">
            <w:pPr>
              <w:spacing w:line="264" w:lineRule="auto"/>
              <w:ind w:left="-250" w:firstLine="142"/>
              <w:jc w:val="both"/>
              <w:rPr>
                <w:b/>
                <w:sz w:val="27"/>
                <w:szCs w:val="27"/>
              </w:rPr>
            </w:pPr>
          </w:p>
        </w:tc>
        <w:tc>
          <w:tcPr>
            <w:tcW w:w="2272" w:type="dxa"/>
            <w:vMerge/>
            <w:vAlign w:val="center"/>
          </w:tcPr>
          <w:p w:rsidR="00C74044" w:rsidRPr="007B2E34" w:rsidRDefault="00C74044" w:rsidP="00426C72">
            <w:pPr>
              <w:spacing w:line="264" w:lineRule="auto"/>
              <w:jc w:val="both"/>
              <w:rPr>
                <w:b/>
                <w:sz w:val="27"/>
                <w:szCs w:val="27"/>
              </w:rPr>
            </w:pPr>
          </w:p>
        </w:tc>
        <w:tc>
          <w:tcPr>
            <w:tcW w:w="1134" w:type="dxa"/>
            <w:vMerge/>
            <w:vAlign w:val="center"/>
          </w:tcPr>
          <w:p w:rsidR="00C74044" w:rsidRPr="007B2E34" w:rsidRDefault="00C74044" w:rsidP="00426C72">
            <w:pPr>
              <w:spacing w:line="264" w:lineRule="auto"/>
              <w:jc w:val="both"/>
              <w:rPr>
                <w:b/>
                <w:sz w:val="27"/>
                <w:szCs w:val="27"/>
              </w:rPr>
            </w:pPr>
          </w:p>
        </w:tc>
        <w:tc>
          <w:tcPr>
            <w:tcW w:w="1163" w:type="dxa"/>
            <w:vMerge/>
            <w:vAlign w:val="center"/>
          </w:tcPr>
          <w:p w:rsidR="00C74044" w:rsidRPr="007B2E34" w:rsidRDefault="00C74044" w:rsidP="00426C72">
            <w:pPr>
              <w:spacing w:line="264" w:lineRule="auto"/>
              <w:jc w:val="both"/>
              <w:rPr>
                <w:b/>
                <w:sz w:val="27"/>
                <w:szCs w:val="27"/>
              </w:rPr>
            </w:pPr>
          </w:p>
        </w:tc>
        <w:tc>
          <w:tcPr>
            <w:tcW w:w="3118" w:type="dxa"/>
            <w:vMerge/>
            <w:vAlign w:val="center"/>
          </w:tcPr>
          <w:p w:rsidR="00C74044" w:rsidRPr="007B2E34" w:rsidRDefault="00C74044" w:rsidP="00426C72">
            <w:pPr>
              <w:spacing w:line="264" w:lineRule="auto"/>
              <w:jc w:val="both"/>
              <w:rPr>
                <w:b/>
                <w:sz w:val="27"/>
                <w:szCs w:val="27"/>
              </w:rPr>
            </w:pPr>
          </w:p>
        </w:tc>
        <w:tc>
          <w:tcPr>
            <w:tcW w:w="850" w:type="dxa"/>
            <w:vAlign w:val="center"/>
          </w:tcPr>
          <w:p w:rsidR="00C74044" w:rsidRPr="007B2E34" w:rsidRDefault="00C74044" w:rsidP="00426C72">
            <w:pPr>
              <w:spacing w:line="264" w:lineRule="auto"/>
              <w:jc w:val="center"/>
              <w:rPr>
                <w:b/>
                <w:sz w:val="27"/>
                <w:szCs w:val="27"/>
              </w:rPr>
            </w:pPr>
            <w:r w:rsidRPr="007B2E34">
              <w:rPr>
                <w:b/>
                <w:sz w:val="27"/>
                <w:szCs w:val="27"/>
              </w:rPr>
              <w:t>Toàn trình</w:t>
            </w:r>
          </w:p>
        </w:tc>
        <w:tc>
          <w:tcPr>
            <w:tcW w:w="992" w:type="dxa"/>
            <w:vAlign w:val="center"/>
          </w:tcPr>
          <w:p w:rsidR="00C74044" w:rsidRPr="007B2E34" w:rsidRDefault="00C74044" w:rsidP="00426C72">
            <w:pPr>
              <w:spacing w:line="264" w:lineRule="auto"/>
              <w:jc w:val="center"/>
              <w:rPr>
                <w:b/>
                <w:sz w:val="27"/>
                <w:szCs w:val="27"/>
              </w:rPr>
            </w:pPr>
            <w:r w:rsidRPr="007B2E34">
              <w:rPr>
                <w:b/>
                <w:sz w:val="27"/>
                <w:szCs w:val="27"/>
              </w:rPr>
              <w:t>Một phần</w:t>
            </w:r>
          </w:p>
        </w:tc>
        <w:tc>
          <w:tcPr>
            <w:tcW w:w="993" w:type="dxa"/>
            <w:vMerge/>
          </w:tcPr>
          <w:p w:rsidR="00C74044" w:rsidRPr="007B2E34" w:rsidRDefault="00C74044" w:rsidP="00426C72">
            <w:pPr>
              <w:spacing w:line="264" w:lineRule="auto"/>
              <w:jc w:val="both"/>
              <w:rPr>
                <w:b/>
                <w:sz w:val="27"/>
                <w:szCs w:val="27"/>
              </w:rPr>
            </w:pPr>
          </w:p>
        </w:tc>
        <w:tc>
          <w:tcPr>
            <w:tcW w:w="2977" w:type="dxa"/>
            <w:vMerge/>
          </w:tcPr>
          <w:p w:rsidR="00C74044" w:rsidRPr="007B2E34" w:rsidRDefault="00C74044" w:rsidP="00426C72">
            <w:pPr>
              <w:spacing w:line="264" w:lineRule="auto"/>
              <w:jc w:val="both"/>
              <w:rPr>
                <w:b/>
                <w:sz w:val="27"/>
                <w:szCs w:val="27"/>
              </w:rPr>
            </w:pPr>
          </w:p>
        </w:tc>
        <w:tc>
          <w:tcPr>
            <w:tcW w:w="856" w:type="dxa"/>
            <w:vMerge/>
            <w:vAlign w:val="center"/>
          </w:tcPr>
          <w:p w:rsidR="00C74044" w:rsidRPr="007B2E34" w:rsidRDefault="00C74044" w:rsidP="00426C72">
            <w:pPr>
              <w:spacing w:line="264" w:lineRule="auto"/>
              <w:jc w:val="both"/>
              <w:rPr>
                <w:b/>
                <w:sz w:val="27"/>
                <w:szCs w:val="27"/>
              </w:rPr>
            </w:pPr>
          </w:p>
        </w:tc>
      </w:tr>
      <w:tr w:rsidR="007B2E34" w:rsidRPr="007B2E34" w:rsidTr="006751F4">
        <w:trPr>
          <w:trHeight w:val="523"/>
        </w:trPr>
        <w:tc>
          <w:tcPr>
            <w:tcW w:w="15060" w:type="dxa"/>
            <w:gridSpan w:val="10"/>
            <w:vAlign w:val="center"/>
          </w:tcPr>
          <w:p w:rsidR="00C74044" w:rsidRPr="00D8304D" w:rsidRDefault="00D8304D" w:rsidP="00426C72">
            <w:pPr>
              <w:pStyle w:val="sonvb"/>
              <w:spacing w:after="0" w:line="264" w:lineRule="auto"/>
              <w:ind w:firstLine="0"/>
              <w:rPr>
                <w:b/>
                <w:sz w:val="27"/>
                <w:szCs w:val="27"/>
              </w:rPr>
            </w:pPr>
            <w:r>
              <w:rPr>
                <w:b/>
                <w:sz w:val="27"/>
                <w:szCs w:val="27"/>
              </w:rPr>
              <w:t>Lĩnh đăng kiểm</w:t>
            </w:r>
          </w:p>
        </w:tc>
      </w:tr>
      <w:tr w:rsidR="00D8304D" w:rsidRPr="007B2E34" w:rsidTr="006751F4">
        <w:trPr>
          <w:trHeight w:val="523"/>
        </w:trPr>
        <w:tc>
          <w:tcPr>
            <w:tcW w:w="705" w:type="dxa"/>
            <w:vAlign w:val="center"/>
          </w:tcPr>
          <w:p w:rsidR="00D8304D" w:rsidRPr="007B2E34" w:rsidRDefault="00D8304D" w:rsidP="00D8304D">
            <w:pPr>
              <w:spacing w:line="276" w:lineRule="auto"/>
              <w:jc w:val="center"/>
              <w:rPr>
                <w:sz w:val="27"/>
                <w:szCs w:val="27"/>
              </w:rPr>
            </w:pPr>
            <w:r w:rsidRPr="007B2E34">
              <w:rPr>
                <w:sz w:val="27"/>
                <w:szCs w:val="27"/>
              </w:rPr>
              <w:t>1</w:t>
            </w:r>
          </w:p>
        </w:tc>
        <w:tc>
          <w:tcPr>
            <w:tcW w:w="2272" w:type="dxa"/>
            <w:tcBorders>
              <w:top w:val="single" w:sz="4" w:space="0" w:color="auto"/>
            </w:tcBorders>
            <w:vAlign w:val="center"/>
          </w:tcPr>
          <w:p w:rsidR="00D8304D" w:rsidRDefault="00D8304D" w:rsidP="00D8304D">
            <w:pPr>
              <w:widowControl w:val="0"/>
              <w:jc w:val="both"/>
              <w:rPr>
                <w:bCs/>
                <w:color w:val="000000"/>
                <w:sz w:val="26"/>
                <w:szCs w:val="26"/>
              </w:rPr>
            </w:pPr>
            <w:r>
              <w:rPr>
                <w:bCs/>
                <w:color w:val="000000"/>
                <w:sz w:val="26"/>
                <w:szCs w:val="26"/>
              </w:rPr>
              <w:t>Cấp Giấy chứng nhận, Tem kiểm định an toàn kỹ thuật và bảo vệ môi trường đối với phương tiện giao thông cơ giới đường bộ</w:t>
            </w:r>
          </w:p>
          <w:p w:rsidR="00D8304D" w:rsidRDefault="00D8304D" w:rsidP="00D8304D">
            <w:pPr>
              <w:widowControl w:val="0"/>
              <w:jc w:val="both"/>
              <w:rPr>
                <w:bCs/>
                <w:color w:val="000000"/>
                <w:sz w:val="26"/>
                <w:szCs w:val="26"/>
              </w:rPr>
            </w:pPr>
            <w:r w:rsidRPr="00DA371D">
              <w:rPr>
                <w:bCs/>
                <w:color w:val="000000"/>
                <w:sz w:val="26"/>
                <w:szCs w:val="26"/>
              </w:rPr>
              <w:t>1.001261.000.00.00.H42</w:t>
            </w:r>
          </w:p>
        </w:tc>
        <w:tc>
          <w:tcPr>
            <w:tcW w:w="1134" w:type="dxa"/>
            <w:vAlign w:val="center"/>
          </w:tcPr>
          <w:p w:rsidR="00D8304D" w:rsidRDefault="00D8304D" w:rsidP="00D8304D">
            <w:pPr>
              <w:widowControl w:val="0"/>
              <w:jc w:val="center"/>
              <w:rPr>
                <w:bCs/>
                <w:color w:val="000000"/>
                <w:sz w:val="26"/>
                <w:szCs w:val="26"/>
              </w:rPr>
            </w:pPr>
            <w:r>
              <w:rPr>
                <w:bCs/>
                <w:color w:val="000000"/>
                <w:sz w:val="26"/>
                <w:szCs w:val="26"/>
              </w:rPr>
              <w:t>Trong ngày làm việc</w:t>
            </w:r>
          </w:p>
        </w:tc>
        <w:tc>
          <w:tcPr>
            <w:tcW w:w="1163" w:type="dxa"/>
            <w:vAlign w:val="center"/>
          </w:tcPr>
          <w:p w:rsidR="00D8304D" w:rsidRDefault="00D8304D" w:rsidP="00D8304D">
            <w:pPr>
              <w:widowControl w:val="0"/>
              <w:jc w:val="center"/>
              <w:rPr>
                <w:bCs/>
                <w:color w:val="000000"/>
                <w:sz w:val="26"/>
                <w:szCs w:val="26"/>
              </w:rPr>
            </w:pPr>
            <w:r>
              <w:rPr>
                <w:bCs/>
                <w:color w:val="000000"/>
                <w:sz w:val="26"/>
                <w:szCs w:val="26"/>
              </w:rPr>
              <w:t>Đơn vị đăng kiểm</w:t>
            </w:r>
          </w:p>
        </w:tc>
        <w:tc>
          <w:tcPr>
            <w:tcW w:w="3118" w:type="dxa"/>
            <w:vAlign w:val="center"/>
          </w:tcPr>
          <w:p w:rsidR="002271BF" w:rsidRPr="00472715" w:rsidRDefault="002271BF" w:rsidP="006751F4">
            <w:pPr>
              <w:widowControl w:val="0"/>
              <w:jc w:val="both"/>
              <w:rPr>
                <w:bCs/>
                <w:color w:val="000000"/>
                <w:sz w:val="26"/>
                <w:szCs w:val="26"/>
              </w:rPr>
            </w:pPr>
            <w:r w:rsidRPr="00472715">
              <w:rPr>
                <w:bCs/>
                <w:color w:val="000000"/>
                <w:sz w:val="26"/>
                <w:szCs w:val="26"/>
              </w:rPr>
              <w:t>- Lệ phí cấp giấy chứng nhận: 40.000 đồng/01 Giấy chứng nhận kiểm định, riêng đối với ô tô dưới 10 chỗ ngồi (không bao gồm xe cứu thương): 90.000 đồng/01 Giấy chứng nhận kiểm định.</w:t>
            </w:r>
          </w:p>
          <w:p w:rsidR="00D8304D" w:rsidRPr="007B2E34" w:rsidRDefault="002271BF" w:rsidP="006751F4">
            <w:pPr>
              <w:spacing w:line="264" w:lineRule="auto"/>
              <w:jc w:val="both"/>
              <w:rPr>
                <w:sz w:val="27"/>
                <w:szCs w:val="27"/>
              </w:rPr>
            </w:pPr>
            <w:r w:rsidRPr="00472715">
              <w:rPr>
                <w:bCs/>
                <w:color w:val="000000"/>
                <w:sz w:val="26"/>
                <w:szCs w:val="26"/>
              </w:rPr>
              <w:t>- Giá dịch vụ kiểm định an toàn kỹ thuật và bảo về môi trường đối với xe cơ giới, thiết bị và xe máy chuyên dùng đang lưu hành; đánh giá, hiệu chuẩn thiết bị kiểm tra xe cơ giới theo</w:t>
            </w:r>
            <w:r w:rsidR="008B3DAD">
              <w:rPr>
                <w:bCs/>
                <w:color w:val="000000"/>
                <w:sz w:val="26"/>
                <w:szCs w:val="26"/>
              </w:rPr>
              <w:t xml:space="preserve"> </w:t>
            </w:r>
            <w:r w:rsidR="008B3DAD">
              <w:rPr>
                <w:bCs/>
                <w:color w:val="000000"/>
                <w:sz w:val="26"/>
                <w:szCs w:val="26"/>
              </w:rPr>
              <w:lastRenderedPageBreak/>
              <w:t>quy định</w:t>
            </w:r>
            <w:bookmarkStart w:id="0" w:name="_GoBack"/>
            <w:bookmarkEnd w:id="0"/>
            <w:r w:rsidRPr="00472715">
              <w:rPr>
                <w:bCs/>
                <w:color w:val="000000"/>
                <w:sz w:val="26"/>
                <w:szCs w:val="26"/>
              </w:rPr>
              <w:t xml:space="preserve"> </w:t>
            </w:r>
          </w:p>
        </w:tc>
        <w:tc>
          <w:tcPr>
            <w:tcW w:w="850" w:type="dxa"/>
            <w:vAlign w:val="center"/>
          </w:tcPr>
          <w:p w:rsidR="00D8304D" w:rsidRPr="007B2E34" w:rsidRDefault="00D8304D" w:rsidP="00D8304D">
            <w:pPr>
              <w:widowControl w:val="0"/>
              <w:autoSpaceDE w:val="0"/>
              <w:autoSpaceDN w:val="0"/>
              <w:adjustRightInd w:val="0"/>
              <w:spacing w:line="264" w:lineRule="auto"/>
              <w:jc w:val="center"/>
              <w:rPr>
                <w:rStyle w:val="OnceABox"/>
                <w:b w:val="0"/>
                <w:color w:val="auto"/>
                <w:sz w:val="27"/>
                <w:szCs w:val="27"/>
              </w:rPr>
            </w:pPr>
          </w:p>
        </w:tc>
        <w:tc>
          <w:tcPr>
            <w:tcW w:w="992" w:type="dxa"/>
            <w:vAlign w:val="center"/>
          </w:tcPr>
          <w:p w:rsidR="00D8304D" w:rsidRPr="007B2E34" w:rsidRDefault="00D8304D" w:rsidP="00D8304D">
            <w:pPr>
              <w:widowControl w:val="0"/>
              <w:autoSpaceDE w:val="0"/>
              <w:autoSpaceDN w:val="0"/>
              <w:adjustRightInd w:val="0"/>
              <w:spacing w:line="264" w:lineRule="auto"/>
              <w:jc w:val="center"/>
              <w:rPr>
                <w:rStyle w:val="BodyTextIndent3Char"/>
                <w:rFonts w:ascii="Times New Roman" w:hAnsi="Times New Roman"/>
                <w:sz w:val="27"/>
                <w:szCs w:val="27"/>
              </w:rPr>
            </w:pPr>
          </w:p>
        </w:tc>
        <w:tc>
          <w:tcPr>
            <w:tcW w:w="993" w:type="dxa"/>
            <w:vAlign w:val="center"/>
          </w:tcPr>
          <w:p w:rsidR="00D8304D" w:rsidRPr="006751F4" w:rsidRDefault="006751F4" w:rsidP="00D8304D">
            <w:pPr>
              <w:widowControl w:val="0"/>
              <w:autoSpaceDE w:val="0"/>
              <w:autoSpaceDN w:val="0"/>
              <w:adjustRightInd w:val="0"/>
              <w:spacing w:line="264" w:lineRule="auto"/>
              <w:jc w:val="center"/>
              <w:rPr>
                <w:b/>
              </w:rPr>
            </w:pPr>
            <w:r w:rsidRPr="006751F4">
              <w:rPr>
                <w:b/>
              </w:rPr>
              <w:t>x</w:t>
            </w:r>
          </w:p>
        </w:tc>
        <w:tc>
          <w:tcPr>
            <w:tcW w:w="2977" w:type="dxa"/>
            <w:vAlign w:val="center"/>
          </w:tcPr>
          <w:p w:rsidR="002271BF" w:rsidRDefault="002271BF" w:rsidP="00D8304D">
            <w:pPr>
              <w:pStyle w:val="sonvb"/>
              <w:spacing w:before="120" w:line="276" w:lineRule="auto"/>
              <w:ind w:firstLine="0"/>
              <w:rPr>
                <w:bCs/>
                <w:color w:val="000000"/>
                <w:sz w:val="26"/>
                <w:szCs w:val="26"/>
              </w:rPr>
            </w:pPr>
            <w:r>
              <w:rPr>
                <w:bCs/>
                <w:color w:val="000000"/>
                <w:sz w:val="26"/>
                <w:szCs w:val="26"/>
              </w:rPr>
              <w:t>Thông tư số 02/2023/TT-BGTVT ngày 21/3/2023 sửa đổi, bổ sung một số điều của Thông tư số 16/2021/TT-BGTVT ngày 12/8/2021 của Bộ trưởng Bộ GTVT quy định về kiểm định an toàn kỹ thuật và bảo vệ môi trường phương tiện giao thông cơ giới đường bộ</w:t>
            </w:r>
          </w:p>
          <w:p w:rsidR="00D8304D" w:rsidRPr="007B2E34" w:rsidRDefault="002271BF" w:rsidP="00D8304D">
            <w:pPr>
              <w:pStyle w:val="sonvb"/>
              <w:spacing w:before="120" w:line="276" w:lineRule="auto"/>
              <w:ind w:firstLine="0"/>
              <w:rPr>
                <w:sz w:val="27"/>
                <w:szCs w:val="27"/>
              </w:rPr>
            </w:pPr>
            <w:r w:rsidRPr="00472715">
              <w:rPr>
                <w:bCs/>
                <w:color w:val="000000"/>
                <w:sz w:val="26"/>
                <w:szCs w:val="26"/>
              </w:rPr>
              <w:t xml:space="preserve">Thông tư số </w:t>
            </w:r>
            <w:r w:rsidRPr="00472715">
              <w:rPr>
                <w:bCs/>
                <w:color w:val="000000"/>
                <w:sz w:val="26"/>
                <w:szCs w:val="26"/>
              </w:rPr>
              <w:lastRenderedPageBreak/>
              <w:t>238/2016/TT-BTC ngày 11/12/2016 và Thông tư số 55/2022/TT-BTC ngày 24/8/2022 của Bộ trưởng Bộ Tài chính</w:t>
            </w:r>
          </w:p>
        </w:tc>
        <w:tc>
          <w:tcPr>
            <w:tcW w:w="856" w:type="dxa"/>
            <w:vAlign w:val="center"/>
          </w:tcPr>
          <w:p w:rsidR="00D8304D" w:rsidRPr="007B2E34" w:rsidRDefault="00D8304D" w:rsidP="00D8304D">
            <w:pPr>
              <w:spacing w:line="276" w:lineRule="auto"/>
              <w:jc w:val="both"/>
            </w:pPr>
          </w:p>
        </w:tc>
      </w:tr>
    </w:tbl>
    <w:p w:rsidR="00C74044" w:rsidRPr="007B2E34" w:rsidRDefault="00C74044" w:rsidP="00C74044">
      <w:pPr>
        <w:spacing w:line="264" w:lineRule="auto"/>
        <w:jc w:val="both"/>
        <w:rPr>
          <w:b/>
          <w:sz w:val="27"/>
          <w:szCs w:val="27"/>
        </w:rPr>
      </w:pPr>
    </w:p>
    <w:p w:rsidR="002E1C8E" w:rsidRPr="007B2E34" w:rsidRDefault="002E1C8E" w:rsidP="00C74044">
      <w:pPr>
        <w:widowControl w:val="0"/>
        <w:jc w:val="center"/>
        <w:rPr>
          <w:b/>
          <w:bCs/>
          <w:sz w:val="27"/>
          <w:szCs w:val="27"/>
        </w:rPr>
      </w:pPr>
    </w:p>
    <w:p w:rsidR="002E1C8E" w:rsidRPr="007B2E34" w:rsidRDefault="002E1C8E" w:rsidP="00C74044">
      <w:pPr>
        <w:widowControl w:val="0"/>
        <w:jc w:val="center"/>
        <w:rPr>
          <w:b/>
          <w:bCs/>
          <w:sz w:val="27"/>
          <w:szCs w:val="27"/>
        </w:rPr>
      </w:pPr>
    </w:p>
    <w:p w:rsidR="002E1C8E" w:rsidRPr="007B2E34" w:rsidRDefault="002E1C8E"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Default="00B01F59"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6751F4" w:rsidP="00C74044">
      <w:pPr>
        <w:widowControl w:val="0"/>
        <w:jc w:val="center"/>
        <w:rPr>
          <w:b/>
          <w:bCs/>
          <w:sz w:val="27"/>
          <w:szCs w:val="27"/>
        </w:rPr>
      </w:pPr>
    </w:p>
    <w:p w:rsidR="006751F4" w:rsidRDefault="00FE5D95" w:rsidP="006751F4">
      <w:pPr>
        <w:widowControl w:val="0"/>
        <w:jc w:val="center"/>
        <w:rPr>
          <w:b/>
          <w:bCs/>
          <w:color w:val="000000"/>
        </w:rPr>
      </w:pPr>
      <w:r>
        <w:rPr>
          <w:b/>
          <w:bCs/>
          <w:color w:val="000000"/>
        </w:rPr>
        <w:lastRenderedPageBreak/>
        <w:t>Phụ lục II</w:t>
      </w:r>
    </w:p>
    <w:p w:rsidR="006751F4" w:rsidRDefault="006751F4" w:rsidP="006751F4">
      <w:pPr>
        <w:widowControl w:val="0"/>
        <w:jc w:val="center"/>
        <w:rPr>
          <w:b/>
          <w:bCs/>
          <w:color w:val="000000"/>
        </w:rPr>
      </w:pPr>
      <w:r>
        <w:rPr>
          <w:b/>
          <w:bCs/>
          <w:color w:val="000000"/>
        </w:rPr>
        <w:t xml:space="preserve">DANH MỤC THỦ TỤC HÀNH CHÍNH BỊ BÃI BỎ </w:t>
      </w:r>
    </w:p>
    <w:p w:rsidR="006751F4" w:rsidRDefault="006751F4" w:rsidP="006751F4">
      <w:pPr>
        <w:widowControl w:val="0"/>
        <w:jc w:val="center"/>
        <w:rPr>
          <w:b/>
          <w:bCs/>
          <w:color w:val="000000"/>
        </w:rPr>
      </w:pPr>
      <w:r>
        <w:rPr>
          <w:b/>
          <w:bCs/>
          <w:color w:val="000000"/>
        </w:rPr>
        <w:t>THUỘC</w:t>
      </w:r>
      <w:r>
        <w:rPr>
          <w:b/>
          <w:color w:val="000000"/>
        </w:rPr>
        <w:t xml:space="preserve"> </w:t>
      </w:r>
      <w:r>
        <w:rPr>
          <w:b/>
          <w:bCs/>
          <w:color w:val="000000"/>
        </w:rPr>
        <w:t xml:space="preserve">THẨM QUYỀN GIẢI QUYẾT CỦA </w:t>
      </w:r>
      <w:r>
        <w:rPr>
          <w:b/>
          <w:bCs/>
          <w:color w:val="000000"/>
          <w:lang w:val="vi-VN"/>
        </w:rPr>
        <w:t xml:space="preserve">SỞ </w:t>
      </w:r>
      <w:r>
        <w:rPr>
          <w:b/>
          <w:bCs/>
          <w:color w:val="000000"/>
        </w:rPr>
        <w:t>GIAO THÔNG VẬN TẢI NINH BÌNH</w:t>
      </w:r>
    </w:p>
    <w:p w:rsidR="006751F4" w:rsidRDefault="006751F4" w:rsidP="006751F4">
      <w:pPr>
        <w:pStyle w:val="NormalWeb"/>
        <w:spacing w:before="120" w:beforeAutospacing="0" w:after="0" w:afterAutospacing="0"/>
        <w:jc w:val="center"/>
        <w:rPr>
          <w:i/>
          <w:iCs/>
          <w:sz w:val="28"/>
          <w:szCs w:val="28"/>
        </w:rPr>
      </w:pPr>
      <w:r>
        <w:rPr>
          <w:i/>
          <w:iCs/>
          <w:sz w:val="28"/>
          <w:szCs w:val="28"/>
        </w:rPr>
        <w:t>(Ban h</w:t>
      </w:r>
      <w:r w:rsidR="00E3152F">
        <w:rPr>
          <w:i/>
          <w:iCs/>
          <w:sz w:val="28"/>
          <w:szCs w:val="28"/>
        </w:rPr>
        <w:t xml:space="preserve">ành theo Quyết định số: </w:t>
      </w:r>
      <w:r>
        <w:rPr>
          <w:i/>
          <w:iCs/>
          <w:sz w:val="28"/>
          <w:szCs w:val="28"/>
        </w:rPr>
        <w:t xml:space="preserve">    </w:t>
      </w:r>
      <w:r>
        <w:rPr>
          <w:b/>
          <w:bCs/>
          <w:i/>
          <w:iCs/>
          <w:sz w:val="28"/>
          <w:szCs w:val="28"/>
        </w:rPr>
        <w:t> </w:t>
      </w:r>
      <w:r w:rsidR="00E3152F">
        <w:rPr>
          <w:i/>
          <w:iCs/>
          <w:sz w:val="28"/>
          <w:szCs w:val="28"/>
        </w:rPr>
        <w:t xml:space="preserve">/QĐ-UBND ngày   </w:t>
      </w:r>
      <w:r>
        <w:rPr>
          <w:i/>
          <w:iCs/>
          <w:sz w:val="28"/>
          <w:szCs w:val="28"/>
        </w:rPr>
        <w:t>   tháng 5 năm 2023 của Chủ tịch Ủy ban nhân dân tỉnh Ninh Bình)</w:t>
      </w:r>
    </w:p>
    <w:p w:rsidR="006751F4" w:rsidRDefault="006751F4" w:rsidP="006751F4">
      <w:pPr>
        <w:pStyle w:val="NormalWeb"/>
        <w:spacing w:before="0" w:beforeAutospacing="0" w:after="0" w:afterAutospacing="0"/>
        <w:jc w:val="center"/>
        <w:rPr>
          <w:b/>
          <w:sz w:val="28"/>
          <w:szCs w:val="28"/>
        </w:rPr>
      </w:pPr>
      <w:r>
        <w:rPr>
          <w:b/>
          <w:noProof/>
          <w:sz w:val="28"/>
          <w:szCs w:val="28"/>
          <w:lang w:val="en-US" w:eastAsia="en-US"/>
        </w:rPr>
        <mc:AlternateContent>
          <mc:Choice Requires="wps">
            <w:drawing>
              <wp:anchor distT="0" distB="0" distL="114300" distR="114300" simplePos="0" relativeHeight="251661312" behindDoc="0" locked="0" layoutInCell="1" allowOverlap="1" wp14:anchorId="16D71F99" wp14:editId="55E3FAE9">
                <wp:simplePos x="0" y="0"/>
                <wp:positionH relativeFrom="column">
                  <wp:posOffset>4091305</wp:posOffset>
                </wp:positionH>
                <wp:positionV relativeFrom="paragraph">
                  <wp:posOffset>38100</wp:posOffset>
                </wp:positionV>
                <wp:extent cx="973455" cy="0"/>
                <wp:effectExtent l="5080" t="9525" r="1206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529D71" id="_x0000_t32" coordsize="21600,21600" o:spt="32" o:oned="t" path="m,l21600,21600e" filled="f">
                <v:path arrowok="t" fillok="f" o:connecttype="none"/>
                <o:lock v:ext="edit" shapetype="t"/>
              </v:shapetype>
              <v:shape id="AutoShape 6" o:spid="_x0000_s1026" type="#_x0000_t32" style="position:absolute;margin-left:322.15pt;margin-top:3pt;width:7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Q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"/>
            </w:pict>
          </mc:Fallback>
        </mc:AlternateContent>
      </w:r>
    </w:p>
    <w:tbl>
      <w:tblPr>
        <w:tblW w:w="5000" w:type="pct"/>
        <w:tblCellMar>
          <w:left w:w="0" w:type="dxa"/>
          <w:right w:w="0" w:type="dxa"/>
        </w:tblCellMar>
        <w:tblLook w:val="0000" w:firstRow="0" w:lastRow="0" w:firstColumn="0" w:lastColumn="0" w:noHBand="0" w:noVBand="0"/>
      </w:tblPr>
      <w:tblGrid>
        <w:gridCol w:w="502"/>
        <w:gridCol w:w="2829"/>
        <w:gridCol w:w="3513"/>
        <w:gridCol w:w="3636"/>
        <w:gridCol w:w="4385"/>
      </w:tblGrid>
      <w:tr w:rsidR="006751F4" w:rsidTr="006751F4">
        <w:trPr>
          <w:trHeight w:val="299"/>
          <w:tblHeader/>
        </w:trPr>
        <w:tc>
          <w:tcPr>
            <w:tcW w:w="169" w:type="pct"/>
            <w:vMerge w:val="restart"/>
            <w:tcBorders>
              <w:top w:val="single" w:sz="4" w:space="0" w:color="auto"/>
              <w:left w:val="single" w:sz="4" w:space="0" w:color="auto"/>
              <w:right w:val="nil"/>
            </w:tcBorders>
            <w:shd w:val="clear" w:color="auto" w:fill="FFFFFF"/>
            <w:vAlign w:val="center"/>
          </w:tcPr>
          <w:p w:rsidR="006751F4" w:rsidRDefault="006751F4" w:rsidP="00346B19">
            <w:pPr>
              <w:jc w:val="center"/>
              <w:rPr>
                <w:b/>
                <w:sz w:val="26"/>
                <w:szCs w:val="26"/>
              </w:rPr>
            </w:pPr>
            <w:r>
              <w:rPr>
                <w:b/>
                <w:sz w:val="26"/>
                <w:szCs w:val="26"/>
              </w:rPr>
              <w:t>STT</w:t>
            </w:r>
          </w:p>
        </w:tc>
        <w:tc>
          <w:tcPr>
            <w:tcW w:w="951" w:type="pct"/>
            <w:vMerge w:val="restart"/>
            <w:tcBorders>
              <w:top w:val="single" w:sz="4" w:space="0" w:color="auto"/>
              <w:left w:val="single" w:sz="4" w:space="0" w:color="auto"/>
              <w:right w:val="nil"/>
            </w:tcBorders>
            <w:shd w:val="clear" w:color="auto" w:fill="FFFFFF"/>
            <w:vAlign w:val="center"/>
          </w:tcPr>
          <w:p w:rsidR="006751F4" w:rsidRDefault="006751F4" w:rsidP="00346B19">
            <w:pPr>
              <w:jc w:val="center"/>
              <w:rPr>
                <w:sz w:val="26"/>
                <w:szCs w:val="26"/>
              </w:rPr>
            </w:pPr>
            <w:r>
              <w:rPr>
                <w:b/>
                <w:sz w:val="26"/>
                <w:szCs w:val="26"/>
              </w:rPr>
              <w:t>Mã số TTHC</w:t>
            </w:r>
          </w:p>
        </w:tc>
        <w:tc>
          <w:tcPr>
            <w:tcW w:w="1182" w:type="pct"/>
            <w:vMerge w:val="restart"/>
            <w:tcBorders>
              <w:top w:val="single" w:sz="4" w:space="0" w:color="auto"/>
              <w:left w:val="single" w:sz="4" w:space="0" w:color="auto"/>
              <w:right w:val="nil"/>
            </w:tcBorders>
            <w:shd w:val="clear" w:color="auto" w:fill="FFFFFF"/>
            <w:vAlign w:val="center"/>
          </w:tcPr>
          <w:p w:rsidR="006751F4" w:rsidRDefault="006751F4" w:rsidP="00346B19">
            <w:pPr>
              <w:jc w:val="center"/>
              <w:rPr>
                <w:b/>
                <w:sz w:val="26"/>
                <w:szCs w:val="26"/>
              </w:rPr>
            </w:pPr>
            <w:r>
              <w:rPr>
                <w:b/>
                <w:sz w:val="26"/>
                <w:szCs w:val="26"/>
              </w:rPr>
              <w:t>Tên thủ tục hành chính</w:t>
            </w:r>
          </w:p>
        </w:tc>
        <w:tc>
          <w:tcPr>
            <w:tcW w:w="1223" w:type="pct"/>
            <w:vMerge w:val="restart"/>
            <w:tcBorders>
              <w:top w:val="single" w:sz="4" w:space="0" w:color="auto"/>
              <w:left w:val="single" w:sz="4" w:space="0" w:color="auto"/>
              <w:right w:val="single" w:sz="4" w:space="0" w:color="auto"/>
            </w:tcBorders>
            <w:shd w:val="clear" w:color="auto" w:fill="FFFFFF"/>
            <w:vAlign w:val="center"/>
          </w:tcPr>
          <w:p w:rsidR="006751F4" w:rsidRDefault="006751F4" w:rsidP="00346B19">
            <w:pPr>
              <w:jc w:val="center"/>
              <w:rPr>
                <w:b/>
                <w:sz w:val="26"/>
                <w:szCs w:val="26"/>
              </w:rPr>
            </w:pPr>
            <w:r>
              <w:rPr>
                <w:b/>
                <w:sz w:val="26"/>
                <w:szCs w:val="26"/>
              </w:rPr>
              <w:t>Tên VBQPPL quy định việc bãi bỏ thủ tục hành chính</w:t>
            </w:r>
          </w:p>
        </w:tc>
        <w:tc>
          <w:tcPr>
            <w:tcW w:w="1476" w:type="pct"/>
            <w:vMerge w:val="restart"/>
            <w:tcBorders>
              <w:top w:val="single" w:sz="4" w:space="0" w:color="auto"/>
              <w:left w:val="single" w:sz="4" w:space="0" w:color="auto"/>
              <w:right w:val="single" w:sz="4" w:space="0" w:color="auto"/>
            </w:tcBorders>
            <w:shd w:val="clear" w:color="auto" w:fill="FFFFFF"/>
            <w:vAlign w:val="center"/>
          </w:tcPr>
          <w:p w:rsidR="006751F4" w:rsidRDefault="006751F4" w:rsidP="00346B19">
            <w:pPr>
              <w:jc w:val="center"/>
              <w:rPr>
                <w:b/>
                <w:sz w:val="26"/>
                <w:szCs w:val="26"/>
              </w:rPr>
            </w:pPr>
            <w:r>
              <w:rPr>
                <w:b/>
                <w:sz w:val="26"/>
                <w:szCs w:val="26"/>
              </w:rPr>
              <w:t>Ghi chú</w:t>
            </w:r>
          </w:p>
        </w:tc>
      </w:tr>
      <w:tr w:rsidR="006751F4" w:rsidTr="006751F4">
        <w:trPr>
          <w:trHeight w:val="299"/>
          <w:tblHeader/>
        </w:trPr>
        <w:tc>
          <w:tcPr>
            <w:tcW w:w="169" w:type="pct"/>
            <w:vMerge/>
            <w:tcBorders>
              <w:left w:val="single" w:sz="4" w:space="0" w:color="auto"/>
              <w:bottom w:val="single" w:sz="4" w:space="0" w:color="auto"/>
              <w:right w:val="nil"/>
            </w:tcBorders>
            <w:shd w:val="clear" w:color="auto" w:fill="FFFFFF"/>
            <w:vAlign w:val="center"/>
          </w:tcPr>
          <w:p w:rsidR="006751F4" w:rsidRDefault="006751F4" w:rsidP="00346B19">
            <w:pPr>
              <w:jc w:val="center"/>
              <w:rPr>
                <w:sz w:val="26"/>
                <w:szCs w:val="26"/>
              </w:rPr>
            </w:pPr>
          </w:p>
        </w:tc>
        <w:tc>
          <w:tcPr>
            <w:tcW w:w="951" w:type="pct"/>
            <w:vMerge/>
            <w:tcBorders>
              <w:left w:val="single" w:sz="4" w:space="0" w:color="auto"/>
              <w:bottom w:val="single" w:sz="4" w:space="0" w:color="auto"/>
              <w:right w:val="nil"/>
            </w:tcBorders>
            <w:shd w:val="clear" w:color="auto" w:fill="FFFFFF"/>
          </w:tcPr>
          <w:p w:rsidR="006751F4" w:rsidRDefault="006751F4" w:rsidP="00346B19">
            <w:pPr>
              <w:rPr>
                <w:sz w:val="26"/>
                <w:szCs w:val="26"/>
              </w:rPr>
            </w:pPr>
          </w:p>
        </w:tc>
        <w:tc>
          <w:tcPr>
            <w:tcW w:w="1182" w:type="pct"/>
            <w:vMerge/>
            <w:tcBorders>
              <w:left w:val="single" w:sz="4" w:space="0" w:color="auto"/>
              <w:bottom w:val="single" w:sz="4" w:space="0" w:color="auto"/>
              <w:right w:val="nil"/>
            </w:tcBorders>
            <w:shd w:val="clear" w:color="auto" w:fill="FFFFFF"/>
            <w:vAlign w:val="center"/>
          </w:tcPr>
          <w:p w:rsidR="006751F4" w:rsidRDefault="006751F4" w:rsidP="00346B19">
            <w:pPr>
              <w:rPr>
                <w:sz w:val="26"/>
                <w:szCs w:val="26"/>
              </w:rPr>
            </w:pPr>
          </w:p>
        </w:tc>
        <w:tc>
          <w:tcPr>
            <w:tcW w:w="1223" w:type="pct"/>
            <w:vMerge/>
            <w:tcBorders>
              <w:left w:val="single" w:sz="4" w:space="0" w:color="auto"/>
              <w:bottom w:val="single" w:sz="4" w:space="0" w:color="auto"/>
              <w:right w:val="single" w:sz="4" w:space="0" w:color="auto"/>
            </w:tcBorders>
            <w:shd w:val="clear" w:color="auto" w:fill="FFFFFF"/>
          </w:tcPr>
          <w:p w:rsidR="006751F4" w:rsidRDefault="006751F4" w:rsidP="00346B19">
            <w:pPr>
              <w:rPr>
                <w:sz w:val="26"/>
                <w:szCs w:val="26"/>
              </w:rPr>
            </w:pPr>
          </w:p>
        </w:tc>
        <w:tc>
          <w:tcPr>
            <w:tcW w:w="1476" w:type="pct"/>
            <w:vMerge/>
            <w:tcBorders>
              <w:left w:val="single" w:sz="4" w:space="0" w:color="auto"/>
              <w:bottom w:val="single" w:sz="4" w:space="0" w:color="auto"/>
              <w:right w:val="single" w:sz="4" w:space="0" w:color="auto"/>
            </w:tcBorders>
            <w:shd w:val="clear" w:color="auto" w:fill="FFFFFF"/>
          </w:tcPr>
          <w:p w:rsidR="006751F4" w:rsidRDefault="006751F4" w:rsidP="00346B19">
            <w:pPr>
              <w:rPr>
                <w:sz w:val="26"/>
                <w:szCs w:val="26"/>
              </w:rPr>
            </w:pPr>
          </w:p>
        </w:tc>
      </w:tr>
      <w:tr w:rsidR="006751F4" w:rsidTr="006751F4">
        <w:trPr>
          <w:trHeight w:val="1731"/>
        </w:trPr>
        <w:tc>
          <w:tcPr>
            <w:tcW w:w="169" w:type="pct"/>
            <w:tcBorders>
              <w:top w:val="single" w:sz="4" w:space="0" w:color="auto"/>
              <w:left w:val="single" w:sz="4" w:space="0" w:color="auto"/>
              <w:bottom w:val="single" w:sz="4" w:space="0" w:color="auto"/>
              <w:right w:val="nil"/>
            </w:tcBorders>
            <w:shd w:val="clear" w:color="auto" w:fill="FFFFFF"/>
            <w:vAlign w:val="center"/>
          </w:tcPr>
          <w:p w:rsidR="006751F4" w:rsidRDefault="006751F4" w:rsidP="00346B19">
            <w:pPr>
              <w:jc w:val="center"/>
              <w:rPr>
                <w:color w:val="000000"/>
                <w:sz w:val="26"/>
                <w:szCs w:val="26"/>
                <w:lang w:val="nl-NL"/>
              </w:rPr>
            </w:pPr>
            <w:r>
              <w:rPr>
                <w:color w:val="000000"/>
                <w:sz w:val="26"/>
                <w:szCs w:val="26"/>
                <w:lang w:val="nl-NL"/>
              </w:rPr>
              <w:t>1</w:t>
            </w:r>
          </w:p>
        </w:tc>
        <w:tc>
          <w:tcPr>
            <w:tcW w:w="951" w:type="pct"/>
            <w:tcBorders>
              <w:top w:val="single" w:sz="4" w:space="0" w:color="auto"/>
              <w:left w:val="single" w:sz="4" w:space="0" w:color="auto"/>
              <w:bottom w:val="single" w:sz="4" w:space="0" w:color="auto"/>
              <w:right w:val="nil"/>
            </w:tcBorders>
            <w:shd w:val="clear" w:color="auto" w:fill="FFFFFF"/>
            <w:vAlign w:val="center"/>
          </w:tcPr>
          <w:p w:rsidR="006751F4" w:rsidRPr="007F5355" w:rsidRDefault="006751F4" w:rsidP="00346B19">
            <w:pPr>
              <w:widowControl w:val="0"/>
              <w:ind w:left="113" w:right="113"/>
              <w:jc w:val="center"/>
              <w:rPr>
                <w:b/>
                <w:bCs/>
                <w:color w:val="000000"/>
                <w:sz w:val="26"/>
                <w:szCs w:val="26"/>
              </w:rPr>
            </w:pPr>
            <w:r w:rsidRPr="00DA371D">
              <w:rPr>
                <w:bCs/>
                <w:color w:val="000000"/>
                <w:sz w:val="26"/>
                <w:szCs w:val="26"/>
              </w:rPr>
              <w:t>1.001261.000.00.00.H42</w:t>
            </w:r>
          </w:p>
        </w:tc>
        <w:tc>
          <w:tcPr>
            <w:tcW w:w="1182" w:type="pct"/>
            <w:tcBorders>
              <w:top w:val="single" w:sz="4" w:space="0" w:color="auto"/>
              <w:left w:val="single" w:sz="4" w:space="0" w:color="auto"/>
              <w:bottom w:val="single" w:sz="4" w:space="0" w:color="auto"/>
              <w:right w:val="nil"/>
            </w:tcBorders>
            <w:shd w:val="clear" w:color="auto" w:fill="FFFFFF"/>
            <w:vAlign w:val="center"/>
          </w:tcPr>
          <w:p w:rsidR="006751F4" w:rsidRDefault="006751F4" w:rsidP="00346B19">
            <w:pPr>
              <w:widowControl w:val="0"/>
              <w:ind w:left="57" w:right="57"/>
              <w:jc w:val="both"/>
              <w:rPr>
                <w:bCs/>
                <w:color w:val="000000"/>
                <w:sz w:val="26"/>
                <w:szCs w:val="26"/>
              </w:rPr>
            </w:pPr>
            <w:r>
              <w:rPr>
                <w:bCs/>
                <w:color w:val="000000"/>
                <w:sz w:val="26"/>
                <w:szCs w:val="26"/>
              </w:rPr>
              <w:t>Cấp Giấy chứng nhận, Tem kiểm định an toàn kỹ thuật và bảo vệ môi trường đối với phương tiện giao thông cơ giới đường bộ</w:t>
            </w:r>
          </w:p>
          <w:p w:rsidR="006751F4" w:rsidRDefault="006751F4" w:rsidP="00346B19">
            <w:pPr>
              <w:widowControl w:val="0"/>
              <w:ind w:left="57" w:right="57"/>
              <w:jc w:val="both"/>
              <w:rPr>
                <w:bCs/>
                <w:color w:val="000000"/>
                <w:sz w:val="26"/>
                <w:szCs w:val="26"/>
              </w:rPr>
            </w:pPr>
          </w:p>
        </w:tc>
        <w:tc>
          <w:tcPr>
            <w:tcW w:w="1223" w:type="pct"/>
            <w:tcBorders>
              <w:top w:val="single" w:sz="4" w:space="0" w:color="auto"/>
              <w:left w:val="single" w:sz="4" w:space="0" w:color="auto"/>
              <w:bottom w:val="single" w:sz="4" w:space="0" w:color="auto"/>
              <w:right w:val="single" w:sz="4" w:space="0" w:color="auto"/>
            </w:tcBorders>
            <w:shd w:val="clear" w:color="auto" w:fill="FFFFFF"/>
          </w:tcPr>
          <w:p w:rsidR="006751F4" w:rsidRDefault="006751F4" w:rsidP="00E3152F">
            <w:pPr>
              <w:spacing w:before="120" w:after="120"/>
              <w:ind w:left="57" w:right="57"/>
              <w:jc w:val="both"/>
            </w:pPr>
            <w:r>
              <w:rPr>
                <w:bCs/>
                <w:color w:val="000000"/>
                <w:sz w:val="26"/>
                <w:szCs w:val="26"/>
              </w:rPr>
              <w:t>Thông tư số 02/2023/TT-BGTVT ngày 21/3/2023 sửa đổi, bổ sung một số điều của Thông tư số 16/2021/TT-BGTVT ngày 12/8/2021 của Bộ trưởng Bộ GTVT quy định về kiểm định an toàn kỹ thuật và bảo vệ môi trường phương tiện giao thông cơ giới đường bộ</w:t>
            </w:r>
          </w:p>
        </w:tc>
        <w:tc>
          <w:tcPr>
            <w:tcW w:w="1476" w:type="pct"/>
            <w:tcBorders>
              <w:top w:val="single" w:sz="4" w:space="0" w:color="auto"/>
              <w:left w:val="single" w:sz="4" w:space="0" w:color="auto"/>
              <w:bottom w:val="single" w:sz="4" w:space="0" w:color="auto"/>
              <w:right w:val="single" w:sz="4" w:space="0" w:color="auto"/>
            </w:tcBorders>
            <w:shd w:val="clear" w:color="auto" w:fill="FFFFFF"/>
          </w:tcPr>
          <w:p w:rsidR="006751F4" w:rsidRDefault="00E3152F" w:rsidP="00E3152F">
            <w:pPr>
              <w:ind w:left="57" w:right="57"/>
              <w:jc w:val="both"/>
              <w:rPr>
                <w:sz w:val="26"/>
                <w:szCs w:val="26"/>
              </w:rPr>
            </w:pPr>
            <w:r>
              <w:rPr>
                <w:color w:val="000000"/>
                <w:spacing w:val="-4"/>
              </w:rPr>
              <w:t>T</w:t>
            </w:r>
            <w:r w:rsidRPr="009830C3">
              <w:rPr>
                <w:color w:val="000000"/>
                <w:spacing w:val="-4"/>
              </w:rPr>
              <w:t xml:space="preserve">hủ tục hành chính đã được công bố tại </w:t>
            </w:r>
            <w:r w:rsidRPr="009830C3">
              <w:rPr>
                <w:lang w:val="es-HN"/>
              </w:rPr>
              <w:t>Quyết định số 593/QĐ-UBND ngày 25/12/2019 của</w:t>
            </w:r>
            <w:r>
              <w:rPr>
                <w:lang w:val="es-HN"/>
              </w:rPr>
              <w:t xml:space="preserve"> Chủ tịch</w:t>
            </w:r>
            <w:r w:rsidRPr="009830C3">
              <w:rPr>
                <w:lang w:val="es-HN"/>
              </w:rPr>
              <w:t xml:space="preserve"> UBND tỉnh về việc công bố Danh mục thủ tục hành chính thuộc thẩm quyền giải quyết của Sở Giao thông vận tải, UBND cấp huyện, UBND cấp xã trên địa bàn tỉnh Ninh Bình</w:t>
            </w:r>
          </w:p>
        </w:tc>
      </w:tr>
    </w:tbl>
    <w:p w:rsidR="006751F4" w:rsidRDefault="006751F4" w:rsidP="006751F4"/>
    <w:p w:rsidR="006751F4" w:rsidRPr="007B2E34" w:rsidRDefault="006751F4"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Pr="007B2E34" w:rsidRDefault="00B01F59" w:rsidP="00C74044">
      <w:pPr>
        <w:widowControl w:val="0"/>
        <w:jc w:val="center"/>
        <w:rPr>
          <w:b/>
          <w:bCs/>
          <w:sz w:val="27"/>
          <w:szCs w:val="27"/>
        </w:rPr>
      </w:pPr>
    </w:p>
    <w:p w:rsidR="00B01F59" w:rsidRPr="007B2E34" w:rsidRDefault="00B01F59" w:rsidP="007B2E34">
      <w:pPr>
        <w:widowControl w:val="0"/>
        <w:rPr>
          <w:b/>
          <w:bCs/>
          <w:sz w:val="27"/>
          <w:szCs w:val="27"/>
        </w:rPr>
      </w:pPr>
    </w:p>
    <w:p w:rsidR="002E1C8E" w:rsidRPr="007B2E34" w:rsidRDefault="002E1C8E" w:rsidP="007B2E34">
      <w:pPr>
        <w:widowControl w:val="0"/>
        <w:rPr>
          <w:b/>
          <w:bCs/>
          <w:sz w:val="2"/>
          <w:szCs w:val="27"/>
        </w:rPr>
      </w:pPr>
    </w:p>
    <w:sectPr w:rsidR="002E1C8E" w:rsidRPr="007B2E34" w:rsidSect="00530E69">
      <w:pgSz w:w="16840" w:h="11907" w:orient="landscape"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44"/>
    <w:rsid w:val="002271BF"/>
    <w:rsid w:val="002E1C8E"/>
    <w:rsid w:val="00460002"/>
    <w:rsid w:val="006751F4"/>
    <w:rsid w:val="007B2E34"/>
    <w:rsid w:val="007B7881"/>
    <w:rsid w:val="007D3E2E"/>
    <w:rsid w:val="008B3DAD"/>
    <w:rsid w:val="0095353E"/>
    <w:rsid w:val="00AF7C17"/>
    <w:rsid w:val="00B01F59"/>
    <w:rsid w:val="00C6582B"/>
    <w:rsid w:val="00C74044"/>
    <w:rsid w:val="00D8304D"/>
    <w:rsid w:val="00DA2D82"/>
    <w:rsid w:val="00E3152F"/>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4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Normal (Web) Char"/>
    <w:basedOn w:val="Normal"/>
    <w:link w:val="NormalWebChar1"/>
    <w:uiPriority w:val="99"/>
    <w:unhideWhenUsed/>
    <w:rsid w:val="00C74044"/>
    <w:pPr>
      <w:spacing w:before="100" w:beforeAutospacing="1" w:after="100" w:afterAutospacing="1" w:line="264" w:lineRule="auto"/>
    </w:pPr>
    <w:rPr>
      <w:color w:val="000000"/>
      <w:sz w:val="24"/>
      <w:szCs w:val="24"/>
      <w:lang/>
    </w:rPr>
  </w:style>
  <w:style w:type="character" w:customStyle="1" w:styleId="NormalWebChar1">
    <w:name w:val="Normal (Web) Char1"/>
    <w:aliases w:val="Char Char Char Char,Char Char Char1, Char Char Char Char, Char Char Char1,Normal (Web) Char Char"/>
    <w:link w:val="NormalWeb"/>
    <w:locked/>
    <w:rsid w:val="00C74044"/>
    <w:rPr>
      <w:rFonts w:eastAsia="Times New Roman" w:cs="Times New Roman"/>
      <w:color w:val="000000"/>
      <w:sz w:val="24"/>
      <w:szCs w:val="24"/>
      <w:lang/>
    </w:rPr>
  </w:style>
  <w:style w:type="paragraph" w:customStyle="1" w:styleId="sonvb">
    <w:name w:val="son vb"/>
    <w:basedOn w:val="Normal"/>
    <w:link w:val="sonvbChar"/>
    <w:qFormat/>
    <w:rsid w:val="00C74044"/>
    <w:pPr>
      <w:spacing w:after="120" w:line="360" w:lineRule="auto"/>
      <w:ind w:firstLine="720"/>
      <w:jc w:val="both"/>
    </w:pPr>
    <w:rPr>
      <w:sz w:val="20"/>
    </w:rPr>
  </w:style>
  <w:style w:type="character" w:customStyle="1" w:styleId="sonvbChar">
    <w:name w:val="son vb Char"/>
    <w:link w:val="sonvb"/>
    <w:locked/>
    <w:rsid w:val="00C74044"/>
    <w:rPr>
      <w:rFonts w:eastAsia="Times New Roman" w:cs="Times New Roman"/>
      <w:sz w:val="20"/>
      <w:szCs w:val="28"/>
    </w:rPr>
  </w:style>
  <w:style w:type="paragraph" w:styleId="BodyTextIndent3">
    <w:name w:val="Body Text Indent 3"/>
    <w:basedOn w:val="Normal"/>
    <w:link w:val="BodyTextIndent3Char"/>
    <w:unhideWhenUsed/>
    <w:rsid w:val="00C74044"/>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C74044"/>
    <w:rPr>
      <w:rFonts w:ascii="Calibri" w:eastAsia="Calibri" w:hAnsi="Calibri" w:cs="Times New Roman"/>
      <w:sz w:val="16"/>
      <w:szCs w:val="16"/>
    </w:rPr>
  </w:style>
  <w:style w:type="character" w:customStyle="1" w:styleId="OnceABox">
    <w:name w:val="OnceABox"/>
    <w:rsid w:val="00C74044"/>
    <w:rPr>
      <w:b/>
      <w:bCs/>
      <w:color w:val="FF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4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Normal (Web) Char"/>
    <w:basedOn w:val="Normal"/>
    <w:link w:val="NormalWebChar1"/>
    <w:uiPriority w:val="99"/>
    <w:unhideWhenUsed/>
    <w:rsid w:val="00C74044"/>
    <w:pPr>
      <w:spacing w:before="100" w:beforeAutospacing="1" w:after="100" w:afterAutospacing="1" w:line="264" w:lineRule="auto"/>
    </w:pPr>
    <w:rPr>
      <w:color w:val="000000"/>
      <w:sz w:val="24"/>
      <w:szCs w:val="24"/>
      <w:lang/>
    </w:rPr>
  </w:style>
  <w:style w:type="character" w:customStyle="1" w:styleId="NormalWebChar1">
    <w:name w:val="Normal (Web) Char1"/>
    <w:aliases w:val="Char Char Char Char,Char Char Char1, Char Char Char Char, Char Char Char1,Normal (Web) Char Char"/>
    <w:link w:val="NormalWeb"/>
    <w:locked/>
    <w:rsid w:val="00C74044"/>
    <w:rPr>
      <w:rFonts w:eastAsia="Times New Roman" w:cs="Times New Roman"/>
      <w:color w:val="000000"/>
      <w:sz w:val="24"/>
      <w:szCs w:val="24"/>
      <w:lang/>
    </w:rPr>
  </w:style>
  <w:style w:type="paragraph" w:customStyle="1" w:styleId="sonvb">
    <w:name w:val="son vb"/>
    <w:basedOn w:val="Normal"/>
    <w:link w:val="sonvbChar"/>
    <w:qFormat/>
    <w:rsid w:val="00C74044"/>
    <w:pPr>
      <w:spacing w:after="120" w:line="360" w:lineRule="auto"/>
      <w:ind w:firstLine="720"/>
      <w:jc w:val="both"/>
    </w:pPr>
    <w:rPr>
      <w:sz w:val="20"/>
    </w:rPr>
  </w:style>
  <w:style w:type="character" w:customStyle="1" w:styleId="sonvbChar">
    <w:name w:val="son vb Char"/>
    <w:link w:val="sonvb"/>
    <w:locked/>
    <w:rsid w:val="00C74044"/>
    <w:rPr>
      <w:rFonts w:eastAsia="Times New Roman" w:cs="Times New Roman"/>
      <w:sz w:val="20"/>
      <w:szCs w:val="28"/>
    </w:rPr>
  </w:style>
  <w:style w:type="paragraph" w:styleId="BodyTextIndent3">
    <w:name w:val="Body Text Indent 3"/>
    <w:basedOn w:val="Normal"/>
    <w:link w:val="BodyTextIndent3Char"/>
    <w:unhideWhenUsed/>
    <w:rsid w:val="00C74044"/>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C74044"/>
    <w:rPr>
      <w:rFonts w:ascii="Calibri" w:eastAsia="Calibri" w:hAnsi="Calibri" w:cs="Times New Roman"/>
      <w:sz w:val="16"/>
      <w:szCs w:val="16"/>
    </w:rPr>
  </w:style>
  <w:style w:type="character" w:customStyle="1" w:styleId="OnceABox">
    <w:name w:val="OnceABox"/>
    <w:rsid w:val="00C74044"/>
    <w:rPr>
      <w:b/>
      <w:bCs/>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7</cp:revision>
  <dcterms:created xsi:type="dcterms:W3CDTF">2023-05-04T08:39:00Z</dcterms:created>
  <dcterms:modified xsi:type="dcterms:W3CDTF">2023-05-17T09:25:00Z</dcterms:modified>
</cp:coreProperties>
</file>